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314E9071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2A756A">
        <w:rPr>
          <w:rFonts w:ascii="Times New Roman" w:eastAsia="MS Mincho" w:hAnsi="Times New Roman"/>
          <w:b/>
          <w:sz w:val="28"/>
          <w:szCs w:val="28"/>
        </w:rPr>
        <w:t>787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2E080FD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0653E42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5B645F1E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34A1EF85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436E9131" w14:textId="07C85533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DD1FB8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03C4D06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307BE3D3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1BDFD86A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757E2E46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04C2367C" w14:textId="27B9C384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4865E3">
        <w:rPr>
          <w:rFonts w:eastAsia="MS Mincho"/>
          <w:sz w:val="28"/>
          <w:szCs w:val="28"/>
        </w:rPr>
        <w:t>1101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A756A">
        <w:rPr>
          <w:rFonts w:eastAsia="MS Mincho"/>
          <w:sz w:val="28"/>
          <w:szCs w:val="28"/>
        </w:rPr>
        <w:t>16000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DD1FB8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29B0DA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00C248C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386F1F5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1A12EC2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62FB8B4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671A480E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764B1C32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3A85A592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342DB22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58191D8C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568F5C59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54D6B007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4B2BD362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6B594472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5AA3AE3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A756A">
        <w:rPr>
          <w:rFonts w:eastAsia="MS Mincho"/>
          <w:sz w:val="28"/>
          <w:szCs w:val="28"/>
        </w:rPr>
        <w:t xml:space="preserve">32000 </w:t>
      </w:r>
      <w:r w:rsidRPr="0009571F">
        <w:rPr>
          <w:rFonts w:eastAsia="MS Mincho"/>
          <w:sz w:val="28"/>
          <w:szCs w:val="28"/>
        </w:rPr>
        <w:t>(</w:t>
      </w:r>
      <w:r w:rsidR="002A756A">
        <w:rPr>
          <w:rFonts w:eastAsia="MS Mincho"/>
          <w:sz w:val="28"/>
          <w:szCs w:val="28"/>
        </w:rPr>
        <w:t>тридцать две тысячи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545E737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2A756A" w:rsidR="002A756A">
        <w:rPr>
          <w:sz w:val="28"/>
          <w:szCs w:val="28"/>
        </w:rPr>
        <w:t>0412365400555007872620187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4680FBD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5D495B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6242E1D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ADED3E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173A30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1C42FFA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DD1FB8" w14:paraId="427482DE" w14:textId="1557B531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DD1FB8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DD1FB8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865E3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6575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7097"/>
    <w:rsid w:val="00BA4568"/>
    <w:rsid w:val="00BA4B3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1FB8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4A2F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